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886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t>文昌市人民医院/同济文昌医院</w:t>
      </w:r>
    </w:p>
    <w:p w14:paraId="0271BD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宋体" w:hAnsi="宋体" w:eastAsia="宋体" w:cs="宋体"/>
          <w:b w:val="0"/>
          <w:bCs w:val="0"/>
          <w:i w:val="0"/>
          <w:iCs w:val="0"/>
          <w:caps w:val="0"/>
          <w:color w:val="505050"/>
          <w:spacing w:val="0"/>
          <w:sz w:val="44"/>
          <w:szCs w:val="44"/>
        </w:rPr>
      </w:pPr>
      <w:r>
        <w:rPr>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t>医院HIS系统运维服务采购项目</w:t>
      </w:r>
      <w:r>
        <w:rPr>
          <w:rFonts w:hint="eastAsia" w:ascii="方正小标宋简体" w:hAnsi="方正小标宋简体" w:eastAsia="方正小标宋简体" w:cs="方正小标宋简体"/>
          <w:b w:val="0"/>
          <w:bCs w:val="0"/>
          <w:i w:val="0"/>
          <w:iCs w:val="0"/>
          <w:caps w:val="0"/>
          <w:color w:val="auto"/>
          <w:spacing w:val="0"/>
          <w:sz w:val="44"/>
          <w:szCs w:val="44"/>
          <w:shd w:val="clear" w:fill="FFFFFF"/>
        </w:rPr>
        <w:t>市场调查公告</w:t>
      </w:r>
    </w:p>
    <w:p w14:paraId="66E527C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宋体" w:hAnsi="宋体" w:eastAsia="宋体" w:cs="宋体"/>
          <w:i w:val="0"/>
          <w:iCs w:val="0"/>
          <w:caps w:val="0"/>
          <w:color w:val="505050"/>
          <w:spacing w:val="0"/>
          <w:sz w:val="21"/>
          <w:szCs w:val="21"/>
        </w:rPr>
      </w:pPr>
    </w:p>
    <w:p w14:paraId="068F2D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rPr>
        <w:t>医院HIS业务系统</w:t>
      </w:r>
      <w:r>
        <w:rPr>
          <w:rFonts w:hint="eastAsia" w:ascii="仿宋_GB2312" w:hAnsi="仿宋_GB2312" w:eastAsia="仿宋_GB2312" w:cs="仿宋_GB2312"/>
          <w:i w:val="0"/>
          <w:iCs w:val="0"/>
          <w:caps w:val="0"/>
          <w:color w:val="auto"/>
          <w:spacing w:val="0"/>
          <w:sz w:val="32"/>
          <w:szCs w:val="32"/>
          <w:shd w:val="clear" w:fill="FFFFFF"/>
          <w:lang w:val="en-US" w:eastAsia="zh-CN"/>
        </w:rPr>
        <w:t>运维</w:t>
      </w:r>
      <w:r>
        <w:rPr>
          <w:rFonts w:hint="eastAsia" w:ascii="仿宋_GB2312" w:hAnsi="仿宋_GB2312" w:eastAsia="仿宋_GB2312" w:cs="仿宋_GB2312"/>
          <w:i w:val="0"/>
          <w:iCs w:val="0"/>
          <w:caps w:val="0"/>
          <w:color w:val="auto"/>
          <w:spacing w:val="0"/>
          <w:sz w:val="32"/>
          <w:szCs w:val="32"/>
          <w:shd w:val="clear" w:fill="FFFFFF"/>
        </w:rPr>
        <w:t>服务已到期</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为确保系统运行稳定，</w:t>
      </w:r>
      <w:r>
        <w:rPr>
          <w:rFonts w:hint="eastAsia" w:ascii="仿宋_GB2312" w:hAnsi="仿宋_GB2312" w:eastAsia="仿宋_GB2312" w:cs="仿宋_GB2312"/>
          <w:i w:val="0"/>
          <w:iCs w:val="0"/>
          <w:caps w:val="0"/>
          <w:color w:val="auto"/>
          <w:spacing w:val="0"/>
          <w:sz w:val="32"/>
          <w:szCs w:val="32"/>
          <w:shd w:val="clear" w:fill="FFFFFF"/>
          <w:lang w:val="en-US" w:eastAsia="zh-CN"/>
        </w:rPr>
        <w:t>现拟</w:t>
      </w:r>
      <w:r>
        <w:rPr>
          <w:rFonts w:hint="eastAsia" w:ascii="仿宋_GB2312" w:hAnsi="仿宋_GB2312" w:eastAsia="仿宋_GB2312" w:cs="仿宋_GB2312"/>
          <w:i w:val="0"/>
          <w:iCs w:val="0"/>
          <w:caps w:val="0"/>
          <w:color w:val="auto"/>
          <w:spacing w:val="0"/>
          <w:sz w:val="32"/>
          <w:szCs w:val="32"/>
          <w:shd w:val="clear" w:fill="FFFFFF"/>
        </w:rPr>
        <w:t>采购年运维服务，一次性采购两年，运维费用</w:t>
      </w:r>
      <w:r>
        <w:rPr>
          <w:rFonts w:hint="eastAsia" w:ascii="仿宋_GB2312" w:hAnsi="仿宋_GB2312" w:eastAsia="仿宋_GB2312" w:cs="仿宋_GB2312"/>
          <w:i w:val="0"/>
          <w:iCs w:val="0"/>
          <w:caps w:val="0"/>
          <w:color w:val="auto"/>
          <w:spacing w:val="0"/>
          <w:sz w:val="32"/>
          <w:szCs w:val="32"/>
          <w:shd w:val="clear" w:fill="FFFFFF"/>
          <w:lang w:val="en-US" w:eastAsia="zh-CN"/>
        </w:rPr>
        <w:t>每</w:t>
      </w:r>
      <w:r>
        <w:rPr>
          <w:rFonts w:hint="eastAsia" w:ascii="仿宋_GB2312" w:hAnsi="仿宋_GB2312" w:eastAsia="仿宋_GB2312" w:cs="仿宋_GB2312"/>
          <w:i w:val="0"/>
          <w:iCs w:val="0"/>
          <w:caps w:val="0"/>
          <w:color w:val="auto"/>
          <w:spacing w:val="0"/>
          <w:sz w:val="32"/>
          <w:szCs w:val="32"/>
          <w:shd w:val="clear" w:fill="FFFFFF"/>
        </w:rPr>
        <w:t>半年支付</w:t>
      </w:r>
      <w:r>
        <w:rPr>
          <w:rFonts w:hint="eastAsia" w:ascii="仿宋_GB2312" w:hAnsi="仿宋_GB2312" w:eastAsia="仿宋_GB2312" w:cs="仿宋_GB2312"/>
          <w:i w:val="0"/>
          <w:iCs w:val="0"/>
          <w:caps w:val="0"/>
          <w:color w:val="auto"/>
          <w:spacing w:val="0"/>
          <w:sz w:val="32"/>
          <w:szCs w:val="32"/>
          <w:shd w:val="clear" w:fill="FFFFFF"/>
          <w:lang w:val="en-US" w:eastAsia="zh-CN"/>
        </w:rPr>
        <w:t>一次</w:t>
      </w:r>
      <w:r>
        <w:rPr>
          <w:rFonts w:hint="eastAsia" w:ascii="仿宋_GB2312" w:hAnsi="仿宋_GB2312" w:eastAsia="仿宋_GB2312" w:cs="仿宋_GB2312"/>
          <w:i w:val="0"/>
          <w:iCs w:val="0"/>
          <w:caps w:val="0"/>
          <w:color w:val="auto"/>
          <w:spacing w:val="0"/>
          <w:sz w:val="32"/>
          <w:szCs w:val="32"/>
          <w:shd w:val="clear" w:fill="FFFFFF"/>
        </w:rPr>
        <w:t>，按年对运维单位的服务质量进行考核合格后并续签下一年度合同</w:t>
      </w:r>
      <w:r>
        <w:rPr>
          <w:rFonts w:hint="eastAsia" w:ascii="仿宋_GB2312" w:hAnsi="仿宋_GB2312" w:eastAsia="仿宋_GB2312" w:cs="仿宋_GB2312"/>
          <w:i w:val="0"/>
          <w:iCs w:val="0"/>
          <w:caps w:val="0"/>
          <w:color w:val="auto"/>
          <w:spacing w:val="0"/>
          <w:sz w:val="32"/>
          <w:szCs w:val="32"/>
          <w:shd w:val="clear" w:fill="FFFFFF"/>
          <w:lang w:val="en-US" w:eastAsia="zh-CN"/>
        </w:rPr>
        <w:t>。现诚邀有资质的厂商提供方案及资金预算，以便医院决策。具体内容如下：</w:t>
      </w:r>
    </w:p>
    <w:p w14:paraId="27DE6E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一、项目名称及内容</w:t>
      </w:r>
    </w:p>
    <w:p w14:paraId="5BFEB5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（一）项目名称</w:t>
      </w:r>
    </w:p>
    <w:p w14:paraId="3F1E39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医院HIS系统运维服务采购项目。</w:t>
      </w:r>
    </w:p>
    <w:p w14:paraId="2CB731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（二）项目地址</w:t>
      </w:r>
    </w:p>
    <w:p w14:paraId="7F1E1B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shd w:val="clear" w:fill="FFFFFF"/>
        </w:rPr>
        <w:t>文昌市</w:t>
      </w:r>
      <w:r>
        <w:rPr>
          <w:rFonts w:hint="eastAsia" w:ascii="仿宋_GB2312" w:hAnsi="仿宋_GB2312" w:eastAsia="仿宋_GB2312" w:cs="仿宋_GB2312"/>
          <w:i w:val="0"/>
          <w:iCs w:val="0"/>
          <w:caps w:val="0"/>
          <w:color w:val="auto"/>
          <w:spacing w:val="0"/>
          <w:sz w:val="32"/>
          <w:szCs w:val="32"/>
          <w:shd w:val="clear" w:fill="FFFFFF"/>
          <w:lang w:eastAsia="zh-CN"/>
        </w:rPr>
        <w:t>文城镇</w:t>
      </w:r>
      <w:r>
        <w:rPr>
          <w:rFonts w:hint="eastAsia" w:ascii="仿宋_GB2312" w:hAnsi="仿宋_GB2312" w:eastAsia="仿宋_GB2312" w:cs="仿宋_GB2312"/>
          <w:i w:val="0"/>
          <w:iCs w:val="0"/>
          <w:caps w:val="0"/>
          <w:color w:val="auto"/>
          <w:spacing w:val="0"/>
          <w:sz w:val="32"/>
          <w:szCs w:val="32"/>
          <w:shd w:val="clear" w:fill="FFFFFF"/>
          <w:lang w:val="en-US" w:eastAsia="zh-CN"/>
        </w:rPr>
        <w:t>文清大道42号文昌市</w:t>
      </w:r>
      <w:r>
        <w:rPr>
          <w:rFonts w:hint="eastAsia" w:ascii="仿宋_GB2312" w:hAnsi="仿宋_GB2312" w:eastAsia="仿宋_GB2312" w:cs="仿宋_GB2312"/>
          <w:i w:val="0"/>
          <w:iCs w:val="0"/>
          <w:caps w:val="0"/>
          <w:color w:val="auto"/>
          <w:spacing w:val="0"/>
          <w:sz w:val="32"/>
          <w:szCs w:val="32"/>
          <w:shd w:val="clear" w:fill="FFFFFF"/>
        </w:rPr>
        <w:t>人民医院</w:t>
      </w:r>
      <w:r>
        <w:rPr>
          <w:rFonts w:hint="eastAsia" w:ascii="仿宋_GB2312" w:hAnsi="仿宋_GB2312" w:eastAsia="仿宋_GB2312" w:cs="仿宋_GB2312"/>
          <w:i w:val="0"/>
          <w:iCs w:val="0"/>
          <w:caps w:val="0"/>
          <w:color w:val="auto"/>
          <w:spacing w:val="0"/>
          <w:sz w:val="32"/>
          <w:szCs w:val="32"/>
          <w:shd w:val="clear" w:fill="FFFFFF"/>
          <w:lang w:eastAsia="zh-CN"/>
        </w:rPr>
        <w:t>。</w:t>
      </w:r>
    </w:p>
    <w:p w14:paraId="396992C3">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具体需求</w:t>
      </w:r>
    </w:p>
    <w:p w14:paraId="3839428D">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名词解释：政策性接口、医保接口泛指省、市政府及其行政部门（主要包括：卫健部门、医保部门、疾控部门等）以书面文件要求的、医院已有的业务系统，需要专门通过开发程序代码完成对接的计算机程序。除此以外，均称为个性化接口）</w:t>
      </w:r>
    </w:p>
    <w:p w14:paraId="793E1976">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i w:val="0"/>
          <w:iCs w:val="0"/>
          <w:caps w:val="0"/>
          <w:color w:val="auto"/>
          <w:spacing w:val="0"/>
          <w:sz w:val="32"/>
          <w:szCs w:val="32"/>
          <w:shd w:val="clear" w:color="auto" w:fill="auto"/>
          <w:lang w:val="en-US" w:eastAsia="zh-CN"/>
        </w:rPr>
        <w:t>系统基础运维服务，包括东华医为公司所有在医院正常运行的业务系统（具体模块参阅附件清单）；</w:t>
      </w:r>
    </w:p>
    <w:p w14:paraId="36FD6B96">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default"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i w:val="0"/>
          <w:iCs w:val="0"/>
          <w:caps w:val="0"/>
          <w:color w:val="auto"/>
          <w:spacing w:val="0"/>
          <w:sz w:val="32"/>
          <w:szCs w:val="32"/>
          <w:shd w:val="clear" w:color="auto" w:fill="auto"/>
          <w:lang w:val="en-US" w:eastAsia="zh-CN"/>
        </w:rPr>
        <w:t>依据近两年的政策性接口、医保接口、个性化接口的费用进行汇总评估，按年开发服务量采购接口开发服务，以便降低总体费用及提高工作效率（具体接口参阅附件清单）；</w:t>
      </w:r>
    </w:p>
    <w:p w14:paraId="68C6F683">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i w:val="0"/>
          <w:iCs w:val="0"/>
          <w:caps w:val="0"/>
          <w:color w:val="auto"/>
          <w:spacing w:val="0"/>
          <w:sz w:val="32"/>
          <w:szCs w:val="32"/>
          <w:shd w:val="clear" w:color="auto" w:fill="auto"/>
          <w:lang w:val="en-US" w:eastAsia="zh-CN"/>
        </w:rPr>
        <w:t>服务提供商须熟悉当前医院HIS系统、CACHE数据库结构，具备可以完成系统运维或改造所必须的功能的专业技术能力及人员，并能在不影响当前业务系统的运行情况下在线升级或实施；</w:t>
      </w:r>
    </w:p>
    <w:p w14:paraId="59BB872E">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服务提供商应充分理解本次项目的运维内容和目标需求，提出符合医院实际应用需求的具有针对性的整体解决方案，并能对项目过程中的重难点做出分析，提出相应的技术应对方案并阐述自身优势。</w:t>
      </w:r>
    </w:p>
    <w:p w14:paraId="574A1FF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本次项目服务提供商还应充分考虑文昌市人民医院现有系统的数据继承问题，确保现有系统数据可以继续使用。</w:t>
      </w:r>
    </w:p>
    <w:p w14:paraId="7830BF7C">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本次项目涉及的系统产生或利用的数据涉及大量患者隐私，服务提供商应做好相应的信息安全保障设计，应具备医疗卫生信息数据的安全应用软件开发能力和医疗卫生数据加密处理能力。</w:t>
      </w:r>
    </w:p>
    <w:p w14:paraId="0979033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服务提供商应具备高性能医疗卫生软件的开发能力，提供的专业技术服务应确保医院大业务量环境下的医疗信息软件的运行效率。</w:t>
      </w:r>
    </w:p>
    <w:p w14:paraId="77CE374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运维期间，在合同规定的工作范围内，如因政策变化或医院管理流程变更的原因，需要对系统进行相应合法、合性、合理、合规的客户个性化修改，服务提供商须无条件满足。</w:t>
      </w:r>
    </w:p>
    <w:p w14:paraId="10E9C01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为确保运维期间系统的稳定可靠运行，服务提供商中标交付时需要提供专业的售后服务，服务提供商应具备较好的医院软件运维信息化管理能力和服务体系。</w:t>
      </w:r>
    </w:p>
    <w:p w14:paraId="1031F796">
      <w:pPr>
        <w:pStyle w:val="4"/>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i w:val="0"/>
          <w:iCs w:val="0"/>
          <w:caps w:val="0"/>
          <w:color w:val="auto"/>
          <w:spacing w:val="0"/>
          <w:sz w:val="32"/>
          <w:szCs w:val="32"/>
          <w:shd w:val="clear" w:color="auto" w:fill="auto"/>
          <w:lang w:val="en-US" w:eastAsia="zh-CN"/>
        </w:rPr>
        <w:t>本项目采购两年的售后服务，政策性接口、医保接口、个性化接口包含在本项目金额内，运维期从签订项目合同之日起计算。运维期内提供：</w:t>
      </w:r>
    </w:p>
    <w:p w14:paraId="6C2ABF3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i w:val="0"/>
          <w:iCs w:val="0"/>
          <w:caps w:val="0"/>
          <w:color w:val="auto"/>
          <w:spacing w:val="0"/>
          <w:sz w:val="32"/>
          <w:szCs w:val="32"/>
          <w:shd w:val="clear" w:color="auto" w:fill="auto"/>
          <w:lang w:val="en-US" w:eastAsia="zh-CN"/>
        </w:rPr>
        <w:t>（1）运维期内，若因政策变动而导致需要新增或修改接口，服务提供商应积极配合接口改造，改造费用包含在本项目金额内，采购人不再另行付费。</w:t>
      </w:r>
    </w:p>
    <w:p w14:paraId="1F1DC9AD">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textAlignment w:val="auto"/>
        <w:rPr>
          <w:rFonts w:hint="default" w:ascii="仿宋_GB2312" w:hAnsi="仿宋_GB2312" w:eastAsia="仿宋_GB2312" w:cs="仿宋_GB2312"/>
          <w:i w:val="0"/>
          <w:iCs w:val="0"/>
          <w:caps w:val="0"/>
          <w:color w:val="auto"/>
          <w:spacing w:val="0"/>
          <w:sz w:val="32"/>
          <w:szCs w:val="32"/>
          <w:shd w:val="clear" w:color="auto" w:fill="auto"/>
          <w:lang w:val="en-US" w:eastAsia="zh-CN"/>
        </w:rPr>
      </w:pPr>
      <w:r>
        <w:rPr>
          <w:rFonts w:hint="eastAsia" w:ascii="仿宋_GB2312" w:hAnsi="仿宋_GB2312" w:eastAsia="仿宋_GB2312" w:cs="仿宋_GB2312"/>
          <w:i w:val="0"/>
          <w:iCs w:val="0"/>
          <w:caps w:val="0"/>
          <w:color w:val="auto"/>
          <w:spacing w:val="0"/>
          <w:sz w:val="32"/>
          <w:szCs w:val="32"/>
          <w:shd w:val="clear" w:color="auto" w:fill="auto"/>
          <w:lang w:val="en-US" w:eastAsia="zh-CN"/>
        </w:rPr>
        <w:t>（2）服务提供商必须提供两名驻场人员及7*24小时技术支持热线电话（固话，手机）。当发生故障时，自报障时起算，1小时内响应，24小时内完成故障处理。</w:t>
      </w:r>
    </w:p>
    <w:p w14:paraId="625FDE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（四）郑重提示</w:t>
      </w:r>
    </w:p>
    <w:p w14:paraId="11A8B6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本市场调研并非招标行为，各公司提供的方案及报价将有助于我院对该项目的认知。医院将结合实际情况组织论证和集体决策审议，并根据医院</w:t>
      </w:r>
      <w:r>
        <w:rPr>
          <w:rFonts w:hint="eastAsia" w:ascii="仿宋_GB2312" w:hAnsi="仿宋_GB2312" w:eastAsia="仿宋_GB2312" w:cs="仿宋_GB2312"/>
          <w:i w:val="0"/>
          <w:iCs w:val="0"/>
          <w:caps w:val="0"/>
          <w:color w:val="auto"/>
          <w:spacing w:val="0"/>
          <w:sz w:val="32"/>
          <w:szCs w:val="32"/>
          <w:shd w:val="clear" w:fill="FFFFFF"/>
          <w:lang w:val="en-US" w:eastAsia="zh-CN"/>
        </w:rPr>
        <w:t>实际人、财、物资源情况开展后续建设工作</w:t>
      </w:r>
      <w:r>
        <w:rPr>
          <w:rFonts w:hint="eastAsia" w:ascii="仿宋_GB2312" w:hAnsi="仿宋_GB2312" w:eastAsia="仿宋_GB2312" w:cs="仿宋_GB2312"/>
          <w:i w:val="0"/>
          <w:iCs w:val="0"/>
          <w:caps w:val="0"/>
          <w:color w:val="auto"/>
          <w:spacing w:val="0"/>
          <w:sz w:val="32"/>
          <w:szCs w:val="32"/>
          <w:shd w:val="clear" w:fill="FFFFFF"/>
        </w:rPr>
        <w:t>。</w:t>
      </w:r>
    </w:p>
    <w:p w14:paraId="348A16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二、参与市场调查人资格要求</w:t>
      </w:r>
    </w:p>
    <w:p w14:paraId="77A7B5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（一）在中华人民共和国境内注册的、具有独立承担民事责任能力的法人</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需提供营业执照副本、税务登记证、组织机构代码证复印件或三证合一营业执照复印件</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及相关行业资质。</w:t>
      </w:r>
    </w:p>
    <w:p w14:paraId="78B4D4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（二）提供供应商在“信用中国”网站</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www.creditchina.gov.cn</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没有被列入失信被执行人，重大税收违法案件当事人名单、政府采购严重违法失信名单和没有被列入中国政府采购网</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www.ccgp.gov.cn</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政府采购严重违法失信行为记录名单。</w:t>
      </w:r>
    </w:p>
    <w:p w14:paraId="490B68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（三）参加采购活动前三年内</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成立不足三年的从成立之日起计算</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，在经营活动中没有重大违法记录。</w:t>
      </w:r>
    </w:p>
    <w:p w14:paraId="786F64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三、参与市场调查人须提供的材料</w:t>
      </w:r>
    </w:p>
    <w:p w14:paraId="7F66CE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（一）企业营业执照副本复印件1份。</w:t>
      </w:r>
    </w:p>
    <w:p w14:paraId="2114C61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（二）施工方案和报价函，格式不</w:t>
      </w:r>
      <w:r>
        <w:rPr>
          <w:rFonts w:hint="eastAsia" w:ascii="仿宋_GB2312" w:hAnsi="仿宋_GB2312" w:eastAsia="仿宋_GB2312" w:cs="仿宋_GB2312"/>
          <w:i w:val="0"/>
          <w:iCs w:val="0"/>
          <w:caps w:val="0"/>
          <w:color w:val="auto"/>
          <w:spacing w:val="0"/>
          <w:sz w:val="32"/>
          <w:szCs w:val="32"/>
          <w:shd w:val="clear" w:fill="FFFFFF"/>
          <w:lang w:eastAsia="zh-CN"/>
        </w:rPr>
        <w:t>作</w:t>
      </w:r>
      <w:r>
        <w:rPr>
          <w:rFonts w:hint="eastAsia" w:ascii="仿宋_GB2312" w:hAnsi="仿宋_GB2312" w:eastAsia="仿宋_GB2312" w:cs="仿宋_GB2312"/>
          <w:i w:val="0"/>
          <w:iCs w:val="0"/>
          <w:caps w:val="0"/>
          <w:color w:val="auto"/>
          <w:spacing w:val="0"/>
          <w:sz w:val="32"/>
          <w:szCs w:val="32"/>
          <w:shd w:val="clear" w:fill="FFFFFF"/>
        </w:rPr>
        <w:t>要求。</w:t>
      </w:r>
    </w:p>
    <w:p w14:paraId="628B7F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（三）法定代表人授权委托书原件1份（格式自拟），法定代表人和被委托人身份证复印件各1份。</w:t>
      </w:r>
    </w:p>
    <w:p w14:paraId="3C717D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（四）参加政府采购活动前3年内，在经营活动中没有重大违法记录的声明函（格式自拟）。</w:t>
      </w:r>
    </w:p>
    <w:p w14:paraId="692043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以上所有复印件须A4纸，并加盖公章。</w:t>
      </w:r>
    </w:p>
    <w:p w14:paraId="0D2D18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四、报名方式及时间</w:t>
      </w:r>
    </w:p>
    <w:p w14:paraId="616ED2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楷体_GB2312" w:hAnsi="楷体_GB2312" w:eastAsia="楷体_GB2312" w:cs="楷体_GB2312"/>
          <w:i w:val="0"/>
          <w:iCs w:val="0"/>
          <w:caps w:val="0"/>
          <w:color w:val="auto"/>
          <w:spacing w:val="0"/>
          <w:sz w:val="32"/>
          <w:szCs w:val="32"/>
        </w:rPr>
      </w:pPr>
      <w:r>
        <w:rPr>
          <w:rFonts w:hint="eastAsia" w:ascii="楷体_GB2312" w:hAnsi="楷体_GB2312" w:eastAsia="楷体_GB2312" w:cs="楷体_GB2312"/>
          <w:i w:val="0"/>
          <w:iCs w:val="0"/>
          <w:caps w:val="0"/>
          <w:color w:val="auto"/>
          <w:spacing w:val="0"/>
          <w:sz w:val="32"/>
          <w:szCs w:val="32"/>
          <w:shd w:val="clear" w:fill="FFFFFF"/>
        </w:rPr>
        <w:t>（一）报名方式</w:t>
      </w:r>
    </w:p>
    <w:p w14:paraId="4B5314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网上报名</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将相关材料报送至邮箱：wcsyytjk@163.com，所有资料加盖公章后扫描为PDF文档</w:t>
      </w:r>
      <w:r>
        <w:rPr>
          <w:rFonts w:hint="eastAsia" w:ascii="仿宋_GB2312" w:hAnsi="仿宋_GB2312" w:eastAsia="仿宋_GB2312" w:cs="仿宋_GB2312"/>
          <w:i w:val="0"/>
          <w:iCs w:val="0"/>
          <w:caps w:val="0"/>
          <w:color w:val="auto"/>
          <w:spacing w:val="0"/>
          <w:sz w:val="32"/>
          <w:szCs w:val="32"/>
          <w:shd w:val="clear" w:fill="FFFFFF"/>
          <w:lang w:eastAsia="zh-CN"/>
        </w:rPr>
        <w:t>作为</w:t>
      </w:r>
      <w:r>
        <w:rPr>
          <w:rFonts w:hint="eastAsia" w:ascii="仿宋_GB2312" w:hAnsi="仿宋_GB2312" w:eastAsia="仿宋_GB2312" w:cs="仿宋_GB2312"/>
          <w:i w:val="0"/>
          <w:iCs w:val="0"/>
          <w:caps w:val="0"/>
          <w:color w:val="auto"/>
          <w:spacing w:val="0"/>
          <w:sz w:val="32"/>
          <w:szCs w:val="32"/>
          <w:shd w:val="clear" w:fill="FFFFFF"/>
        </w:rPr>
        <w:t>附件。</w:t>
      </w:r>
    </w:p>
    <w:p w14:paraId="0D0A3E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楷体_GB2312" w:hAnsi="楷体_GB2312" w:eastAsia="楷体_GB2312" w:cs="楷体_GB2312"/>
          <w:i w:val="0"/>
          <w:iCs w:val="0"/>
          <w:caps w:val="0"/>
          <w:color w:val="auto"/>
          <w:spacing w:val="0"/>
          <w:sz w:val="32"/>
          <w:szCs w:val="32"/>
          <w:shd w:val="clear" w:fill="FFFFFF"/>
        </w:rPr>
      </w:pPr>
      <w:r>
        <w:rPr>
          <w:rFonts w:hint="eastAsia" w:ascii="楷体_GB2312" w:hAnsi="楷体_GB2312" w:eastAsia="楷体_GB2312" w:cs="楷体_GB2312"/>
          <w:i w:val="0"/>
          <w:iCs w:val="0"/>
          <w:caps w:val="0"/>
          <w:color w:val="auto"/>
          <w:spacing w:val="0"/>
          <w:sz w:val="32"/>
          <w:szCs w:val="32"/>
          <w:shd w:val="clear" w:fill="FFFFFF"/>
        </w:rPr>
        <w:t>（二）报名时间</w:t>
      </w:r>
    </w:p>
    <w:p w14:paraId="3AB674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2025年</w:t>
      </w:r>
      <w:r>
        <w:rPr>
          <w:rFonts w:hint="eastAsia" w:ascii="仿宋_GB2312" w:hAnsi="仿宋_GB2312" w:eastAsia="仿宋_GB2312" w:cs="仿宋_GB2312"/>
          <w:i w:val="0"/>
          <w:iCs w:val="0"/>
          <w:caps w:val="0"/>
          <w:color w:val="auto"/>
          <w:spacing w:val="0"/>
          <w:sz w:val="32"/>
          <w:szCs w:val="32"/>
          <w:shd w:val="clear" w:fill="FFFFFF"/>
          <w:lang w:val="en-US" w:eastAsia="zh-CN"/>
        </w:rPr>
        <w:t>10</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13</w:t>
      </w:r>
      <w:r>
        <w:rPr>
          <w:rFonts w:hint="eastAsia" w:ascii="仿宋_GB2312" w:hAnsi="仿宋_GB2312" w:eastAsia="仿宋_GB2312" w:cs="仿宋_GB2312"/>
          <w:i w:val="0"/>
          <w:iCs w:val="0"/>
          <w:caps w:val="0"/>
          <w:color w:val="auto"/>
          <w:spacing w:val="0"/>
          <w:sz w:val="32"/>
          <w:szCs w:val="32"/>
          <w:shd w:val="clear" w:fill="FFFFFF"/>
        </w:rPr>
        <w:t>日至2025年</w:t>
      </w:r>
      <w:r>
        <w:rPr>
          <w:rFonts w:hint="eastAsia" w:ascii="仿宋_GB2312" w:hAnsi="仿宋_GB2312" w:eastAsia="仿宋_GB2312" w:cs="仿宋_GB2312"/>
          <w:i w:val="0"/>
          <w:iCs w:val="0"/>
          <w:caps w:val="0"/>
          <w:color w:val="auto"/>
          <w:spacing w:val="0"/>
          <w:sz w:val="32"/>
          <w:szCs w:val="32"/>
          <w:shd w:val="clear" w:fill="FFFFFF"/>
          <w:lang w:val="en-US" w:eastAsia="zh-CN"/>
        </w:rPr>
        <w:t>10月17</w:t>
      </w:r>
      <w:r>
        <w:rPr>
          <w:rFonts w:hint="eastAsia" w:ascii="仿宋_GB2312" w:hAnsi="仿宋_GB2312" w:eastAsia="仿宋_GB2312" w:cs="仿宋_GB2312"/>
          <w:i w:val="0"/>
          <w:iCs w:val="0"/>
          <w:caps w:val="0"/>
          <w:color w:val="auto"/>
          <w:spacing w:val="0"/>
          <w:sz w:val="32"/>
          <w:szCs w:val="32"/>
          <w:shd w:val="clear" w:fill="FFFFFF"/>
        </w:rPr>
        <w:t>日。</w:t>
      </w:r>
    </w:p>
    <w:p w14:paraId="67A7BB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五、资料提交时间及联系人</w:t>
      </w:r>
    </w:p>
    <w:p w14:paraId="05D5E8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楷体_GB2312" w:hAnsi="楷体_GB2312" w:eastAsia="楷体_GB2312" w:cs="楷体_GB2312"/>
          <w:i w:val="0"/>
          <w:iCs w:val="0"/>
          <w:caps w:val="0"/>
          <w:color w:val="auto"/>
          <w:spacing w:val="0"/>
          <w:sz w:val="32"/>
          <w:szCs w:val="32"/>
        </w:rPr>
      </w:pPr>
      <w:r>
        <w:rPr>
          <w:rFonts w:hint="eastAsia" w:ascii="楷体_GB2312" w:hAnsi="楷体_GB2312" w:eastAsia="楷体_GB2312" w:cs="楷体_GB2312"/>
          <w:i w:val="0"/>
          <w:iCs w:val="0"/>
          <w:caps w:val="0"/>
          <w:color w:val="auto"/>
          <w:spacing w:val="0"/>
          <w:sz w:val="32"/>
          <w:szCs w:val="32"/>
          <w:shd w:val="clear" w:fill="FFFFFF"/>
        </w:rPr>
        <w:t>（一）资料提交有效时间：</w:t>
      </w:r>
    </w:p>
    <w:p w14:paraId="712713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2025年</w:t>
      </w:r>
      <w:r>
        <w:rPr>
          <w:rFonts w:hint="eastAsia" w:ascii="仿宋_GB2312" w:hAnsi="仿宋_GB2312" w:eastAsia="仿宋_GB2312" w:cs="仿宋_GB2312"/>
          <w:i w:val="0"/>
          <w:iCs w:val="0"/>
          <w:caps w:val="0"/>
          <w:color w:val="auto"/>
          <w:spacing w:val="0"/>
          <w:sz w:val="32"/>
          <w:szCs w:val="32"/>
          <w:shd w:val="clear" w:fill="FFFFFF"/>
          <w:lang w:val="en-US" w:eastAsia="zh-CN"/>
        </w:rPr>
        <w:t>10</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17</w:t>
      </w:r>
      <w:r>
        <w:rPr>
          <w:rFonts w:hint="eastAsia" w:ascii="仿宋_GB2312" w:hAnsi="仿宋_GB2312" w:eastAsia="仿宋_GB2312" w:cs="仿宋_GB2312"/>
          <w:i w:val="0"/>
          <w:iCs w:val="0"/>
          <w:caps w:val="0"/>
          <w:color w:val="auto"/>
          <w:spacing w:val="0"/>
          <w:sz w:val="32"/>
          <w:szCs w:val="32"/>
          <w:shd w:val="clear" w:fill="FFFFFF"/>
        </w:rPr>
        <w:t>日</w:t>
      </w:r>
      <w:r>
        <w:rPr>
          <w:rFonts w:hint="eastAsia" w:ascii="仿宋_GB2312" w:hAnsi="仿宋_GB2312" w:eastAsia="仿宋_GB2312" w:cs="仿宋_GB2312"/>
          <w:i w:val="0"/>
          <w:iCs w:val="0"/>
          <w:caps w:val="0"/>
          <w:color w:val="auto"/>
          <w:spacing w:val="0"/>
          <w:sz w:val="32"/>
          <w:szCs w:val="32"/>
          <w:shd w:val="clear" w:fill="FFFFFF"/>
          <w:lang w:eastAsia="zh-CN"/>
        </w:rPr>
        <w:t>23:00</w:t>
      </w:r>
      <w:r>
        <w:rPr>
          <w:rFonts w:hint="eastAsia" w:ascii="仿宋_GB2312" w:hAnsi="仿宋_GB2312" w:eastAsia="仿宋_GB2312" w:cs="仿宋_GB2312"/>
          <w:i w:val="0"/>
          <w:iCs w:val="0"/>
          <w:caps w:val="0"/>
          <w:color w:val="auto"/>
          <w:spacing w:val="0"/>
          <w:sz w:val="32"/>
          <w:szCs w:val="32"/>
          <w:shd w:val="clear" w:fill="FFFFFF"/>
        </w:rPr>
        <w:t>前递交。</w:t>
      </w:r>
    </w:p>
    <w:p w14:paraId="35367A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楷体_GB2312" w:hAnsi="楷体_GB2312" w:eastAsia="楷体_GB2312" w:cs="楷体_GB2312"/>
          <w:i w:val="0"/>
          <w:iCs w:val="0"/>
          <w:caps w:val="0"/>
          <w:color w:val="auto"/>
          <w:spacing w:val="0"/>
          <w:sz w:val="32"/>
          <w:szCs w:val="32"/>
          <w:shd w:val="clear" w:fill="FFFFFF"/>
        </w:rPr>
      </w:pPr>
      <w:bookmarkStart w:id="0" w:name="_GoBack"/>
      <w:r>
        <w:rPr>
          <w:rFonts w:hint="eastAsia" w:ascii="楷体_GB2312" w:hAnsi="楷体_GB2312" w:eastAsia="楷体_GB2312" w:cs="楷体_GB2312"/>
          <w:i w:val="0"/>
          <w:iCs w:val="0"/>
          <w:caps w:val="0"/>
          <w:color w:val="auto"/>
          <w:spacing w:val="0"/>
          <w:sz w:val="32"/>
          <w:szCs w:val="32"/>
          <w:shd w:val="clear" w:fill="FFFFFF"/>
        </w:rPr>
        <w:t>（二）联系人：</w:t>
      </w:r>
    </w:p>
    <w:bookmarkEnd w:id="0"/>
    <w:p w14:paraId="64B90A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王先生，联系电话：18389309991。</w:t>
      </w:r>
    </w:p>
    <w:p w14:paraId="046E2C1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3A6CA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182E771">
      <w:pPr>
        <w:keepNext w:val="0"/>
        <w:keepLines w:val="0"/>
        <w:pageBreakBefore w:val="0"/>
        <w:kinsoku/>
        <w:wordWrap/>
        <w:overflowPunct/>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文昌市人民医院</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同济文昌医院</w:t>
      </w:r>
    </w:p>
    <w:p w14:paraId="73776400">
      <w:pPr>
        <w:keepNext w:val="0"/>
        <w:keepLines w:val="0"/>
        <w:pageBreakBefore w:val="0"/>
        <w:kinsoku/>
        <w:wordWrap/>
        <w:overflowPunct/>
        <w:topLinePunct w:val="0"/>
        <w:autoSpaceDE/>
        <w:autoSpaceDN/>
        <w:bidi w:val="0"/>
        <w:adjustRightInd/>
        <w:snapToGrid/>
        <w:spacing w:line="560" w:lineRule="exact"/>
        <w:ind w:firstLine="4480" w:firstLineChars="14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14:paraId="29DF64AB">
      <w:pPr>
        <w:keepNext w:val="0"/>
        <w:keepLines w:val="0"/>
        <w:pageBreakBefore w:val="0"/>
        <w:kinsoku/>
        <w:wordWrap/>
        <w:overflowPunct/>
        <w:topLinePunct w:val="0"/>
        <w:autoSpaceDE/>
        <w:autoSpaceDN/>
        <w:bidi w:val="0"/>
        <w:adjustRightInd/>
        <w:snapToGrid/>
        <w:spacing w:line="560" w:lineRule="exact"/>
        <w:ind w:firstLine="4480" w:firstLineChars="1400"/>
        <w:jc w:val="center"/>
        <w:textAlignment w:val="auto"/>
        <w:rPr>
          <w:rFonts w:hint="eastAsia" w:ascii="仿宋_GB2312" w:hAnsi="仿宋_GB2312" w:eastAsia="仿宋_GB2312" w:cs="仿宋_GB2312"/>
          <w:sz w:val="32"/>
          <w:szCs w:val="32"/>
        </w:rPr>
      </w:pPr>
    </w:p>
    <w:p w14:paraId="376C59E0">
      <w:pPr>
        <w:keepNext w:val="0"/>
        <w:keepLines w:val="0"/>
        <w:pageBreakBefore w:val="0"/>
        <w:kinsoku/>
        <w:wordWrap/>
        <w:overflowPunct/>
        <w:topLinePunct w:val="0"/>
        <w:autoSpaceDE/>
        <w:autoSpaceDN/>
        <w:bidi w:val="0"/>
        <w:adjustRightInd/>
        <w:snapToGrid/>
        <w:spacing w:line="560" w:lineRule="exact"/>
        <w:ind w:firstLine="4480" w:firstLineChars="1400"/>
        <w:jc w:val="center"/>
        <w:textAlignment w:val="auto"/>
        <w:rPr>
          <w:rFonts w:hint="eastAsia" w:ascii="仿宋_GB2312" w:hAnsi="仿宋_GB2312" w:eastAsia="仿宋_GB2312" w:cs="仿宋_GB2312"/>
          <w:sz w:val="32"/>
          <w:szCs w:val="32"/>
        </w:rPr>
      </w:pPr>
    </w:p>
    <w:p w14:paraId="45BDC7A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22EDCB1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17EA63B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1DF3718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248D980A">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53D5FF6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46E98DE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57B9A21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5E0E0DC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43051D9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750C96D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3276E97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14:paraId="3ABEAE31">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605A601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tbl>
      <w:tblPr>
        <w:tblStyle w:val="5"/>
        <w:tblW w:w="89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1051"/>
        <w:gridCol w:w="7918"/>
      </w:tblGrid>
      <w:tr w14:paraId="1BD06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2C7E">
            <w:pPr>
              <w:keepNext w:val="0"/>
              <w:keepLines w:val="0"/>
              <w:widowControl/>
              <w:suppressLineNumbers w:val="0"/>
              <w:snapToGrid w:val="0"/>
              <w:jc w:val="center"/>
              <w:textAlignment w:val="center"/>
              <w:rPr>
                <w:rFonts w:hint="eastAsia" w:ascii="宋体" w:hAnsi="宋体" w:eastAsia="宋体" w:cs="宋体"/>
                <w:b/>
                <w:i w:val="0"/>
                <w:iCs w:val="0"/>
                <w:color w:val="000000"/>
                <w:sz w:val="28"/>
                <w:szCs w:val="28"/>
                <w:u w:val="none"/>
              </w:rPr>
            </w:pPr>
            <w:r>
              <w:rPr>
                <w:rFonts w:hint="eastAsia" w:ascii="宋体" w:hAnsi="宋体" w:eastAsia="宋体" w:cs="宋体"/>
                <w:b/>
                <w:i w:val="0"/>
                <w:iCs w:val="0"/>
                <w:color w:val="000000"/>
                <w:kern w:val="0"/>
                <w:sz w:val="28"/>
                <w:szCs w:val="28"/>
                <w:u w:val="none"/>
                <w:lang w:val="en-US" w:eastAsia="zh-CN" w:bidi="ar"/>
              </w:rPr>
              <w:t>序号</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5CCB">
            <w:pPr>
              <w:keepNext w:val="0"/>
              <w:keepLines w:val="0"/>
              <w:widowControl/>
              <w:suppressLineNumbers w:val="0"/>
              <w:snapToGrid w:val="0"/>
              <w:jc w:val="center"/>
              <w:textAlignment w:val="center"/>
              <w:rPr>
                <w:rFonts w:hint="eastAsia" w:ascii="宋体" w:hAnsi="宋体" w:eastAsia="宋体" w:cs="宋体"/>
                <w:b/>
                <w:i w:val="0"/>
                <w:iCs w:val="0"/>
                <w:color w:val="000000"/>
                <w:sz w:val="28"/>
                <w:szCs w:val="28"/>
                <w:u w:val="none"/>
              </w:rPr>
            </w:pPr>
            <w:r>
              <w:rPr>
                <w:rFonts w:hint="eastAsia" w:ascii="宋体" w:hAnsi="宋体" w:eastAsia="宋体" w:cs="宋体"/>
                <w:b/>
                <w:i w:val="0"/>
                <w:iCs w:val="0"/>
                <w:color w:val="000000"/>
                <w:kern w:val="0"/>
                <w:sz w:val="28"/>
                <w:szCs w:val="28"/>
                <w:u w:val="none"/>
                <w:lang w:val="en-US" w:eastAsia="zh-CN" w:bidi="ar"/>
              </w:rPr>
              <w:t>功能模块</w:t>
            </w:r>
          </w:p>
        </w:tc>
      </w:tr>
      <w:tr w14:paraId="0FD53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8725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91F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居民健康卡应用管理（就诊卡管理系统）</w:t>
            </w:r>
          </w:p>
        </w:tc>
      </w:tr>
      <w:tr w14:paraId="0DA04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898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BEE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预约管理系统</w:t>
            </w:r>
          </w:p>
        </w:tc>
      </w:tr>
      <w:tr w14:paraId="7FE2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5B2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B331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多媒体信息发布系统</w:t>
            </w:r>
          </w:p>
        </w:tc>
      </w:tr>
      <w:tr w14:paraId="37854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9C2A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FD11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就诊患者自助系统</w:t>
            </w:r>
          </w:p>
        </w:tc>
      </w:tr>
      <w:tr w14:paraId="3EACE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AA8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F09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叫号系统</w:t>
            </w:r>
          </w:p>
        </w:tc>
      </w:tr>
      <w:tr w14:paraId="7D4CD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1E1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3D3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医保控费系统</w:t>
            </w:r>
          </w:p>
        </w:tc>
      </w:tr>
      <w:tr w14:paraId="333E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868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B6A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门急诊挂号系统</w:t>
            </w:r>
          </w:p>
        </w:tc>
      </w:tr>
      <w:tr w14:paraId="68E39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B03D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ECD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门急诊收费系统</w:t>
            </w:r>
          </w:p>
        </w:tc>
      </w:tr>
      <w:tr w14:paraId="0402A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2F22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7E2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分诊导医系统</w:t>
            </w:r>
          </w:p>
        </w:tc>
      </w:tr>
      <w:tr w14:paraId="53C01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CB7E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FFB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门诊医生工作站</w:t>
            </w:r>
          </w:p>
        </w:tc>
      </w:tr>
      <w:tr w14:paraId="0E171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B583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3311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门诊护士工作站</w:t>
            </w:r>
          </w:p>
        </w:tc>
      </w:tr>
      <w:tr w14:paraId="2BC6F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B71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91F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门急诊药房管理系统</w:t>
            </w:r>
          </w:p>
        </w:tc>
      </w:tr>
      <w:tr w14:paraId="0D625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60B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0ED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门诊应急系统</w:t>
            </w:r>
          </w:p>
        </w:tc>
      </w:tr>
      <w:tr w14:paraId="3E140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DEAD">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1FA8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急诊留观管理系统</w:t>
            </w:r>
          </w:p>
        </w:tc>
      </w:tr>
      <w:tr w14:paraId="4E1D2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559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10C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出入院管理系统</w:t>
            </w:r>
          </w:p>
        </w:tc>
      </w:tr>
      <w:tr w14:paraId="01497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247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EB6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住院收费系统</w:t>
            </w:r>
          </w:p>
        </w:tc>
      </w:tr>
      <w:tr w14:paraId="65272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3DF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B43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住院医生工作站</w:t>
            </w:r>
          </w:p>
        </w:tc>
      </w:tr>
      <w:tr w14:paraId="7E85F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983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A52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住院护士工作站</w:t>
            </w:r>
          </w:p>
        </w:tc>
      </w:tr>
      <w:tr w14:paraId="6E24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A533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E2E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住院药房管理系统</w:t>
            </w:r>
          </w:p>
        </w:tc>
      </w:tr>
      <w:tr w14:paraId="1D941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26DD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3B34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会诊管理</w:t>
            </w:r>
          </w:p>
        </w:tc>
      </w:tr>
      <w:tr w14:paraId="0B5DF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220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EE9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门诊电子病历</w:t>
            </w:r>
          </w:p>
        </w:tc>
      </w:tr>
      <w:tr w14:paraId="4CAD7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7F1D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023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住院电子病历（医生）</w:t>
            </w:r>
          </w:p>
        </w:tc>
      </w:tr>
      <w:tr w14:paraId="59ACD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9C5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0D1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住院电子病历（护理）</w:t>
            </w:r>
          </w:p>
        </w:tc>
      </w:tr>
      <w:tr w14:paraId="65D3B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5A0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BCC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病历质控</w:t>
            </w:r>
          </w:p>
        </w:tc>
      </w:tr>
      <w:tr w14:paraId="326E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274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771F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病历综合查询</w:t>
            </w:r>
          </w:p>
        </w:tc>
      </w:tr>
      <w:tr w14:paraId="1BA8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0E4F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754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系统基础配置</w:t>
            </w:r>
          </w:p>
        </w:tc>
      </w:tr>
      <w:tr w14:paraId="43AEB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D92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17C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临床集成视图</w:t>
            </w:r>
          </w:p>
        </w:tc>
      </w:tr>
      <w:tr w14:paraId="228DF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F33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DC2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移动医生</w:t>
            </w:r>
          </w:p>
        </w:tc>
      </w:tr>
      <w:tr w14:paraId="02A2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7267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FCD0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移动护理</w:t>
            </w:r>
          </w:p>
        </w:tc>
      </w:tr>
      <w:tr w14:paraId="69BBB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AB92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EBF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门诊移动输液系统</w:t>
            </w:r>
          </w:p>
        </w:tc>
      </w:tr>
      <w:tr w14:paraId="2D34E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20C3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9357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疾病上报管理系统</w:t>
            </w:r>
          </w:p>
        </w:tc>
      </w:tr>
      <w:tr w14:paraId="729E7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774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695B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病案管理系统</w:t>
            </w:r>
          </w:p>
        </w:tc>
      </w:tr>
      <w:tr w14:paraId="660B6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C50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2FA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病案首页质量监测系统</w:t>
            </w:r>
          </w:p>
        </w:tc>
      </w:tr>
      <w:tr w14:paraId="717B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DAEEB">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F7F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院内感染管理</w:t>
            </w:r>
          </w:p>
        </w:tc>
      </w:tr>
      <w:tr w14:paraId="763FE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D39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772C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护理管理系统（portal）</w:t>
            </w:r>
          </w:p>
        </w:tc>
      </w:tr>
      <w:tr w14:paraId="64E9C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863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987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临床路径管理系统</w:t>
            </w:r>
          </w:p>
        </w:tc>
      </w:tr>
      <w:tr w14:paraId="6900E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9CCB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987C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不良事件管理系统</w:t>
            </w:r>
          </w:p>
        </w:tc>
      </w:tr>
      <w:tr w14:paraId="7DA9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BE4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471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DRGs院端综合绩效评价</w:t>
            </w:r>
          </w:p>
        </w:tc>
      </w:tr>
      <w:tr w14:paraId="65357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14B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3FD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DRGs院端医保费用控制</w:t>
            </w:r>
          </w:p>
        </w:tc>
      </w:tr>
      <w:tr w14:paraId="14651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75CE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C63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医务管理系统（portal）</w:t>
            </w:r>
          </w:p>
        </w:tc>
      </w:tr>
      <w:tr w14:paraId="41599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381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5DD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防统方系统</w:t>
            </w:r>
          </w:p>
        </w:tc>
      </w:tr>
      <w:tr w14:paraId="09FDC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160EB">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4F4B">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危急值管理系统</w:t>
            </w:r>
          </w:p>
        </w:tc>
      </w:tr>
      <w:tr w14:paraId="71FD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962CB">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1A7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抗菌药物管理</w:t>
            </w:r>
          </w:p>
        </w:tc>
      </w:tr>
      <w:tr w14:paraId="17979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23C6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388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处方点评系统</w:t>
            </w:r>
          </w:p>
        </w:tc>
      </w:tr>
      <w:tr w14:paraId="63B42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98A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CC5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临床数据中央采集系统</w:t>
            </w:r>
          </w:p>
        </w:tc>
      </w:tr>
      <w:tr w14:paraId="421E3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2F5F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6AC7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放射科管理系统</w:t>
            </w:r>
          </w:p>
        </w:tc>
      </w:tr>
      <w:tr w14:paraId="3A99A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BB1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B11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医学影像传输与归档系统</w:t>
            </w:r>
          </w:p>
        </w:tc>
      </w:tr>
      <w:tr w14:paraId="2E6A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B09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4E5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超声影像信息系统</w:t>
            </w:r>
          </w:p>
        </w:tc>
      </w:tr>
      <w:tr w14:paraId="74A7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39F6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B2E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内镜影像信息系统</w:t>
            </w:r>
          </w:p>
        </w:tc>
      </w:tr>
      <w:tr w14:paraId="3B9F1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1DB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A4E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病理信息系统</w:t>
            </w:r>
          </w:p>
        </w:tc>
      </w:tr>
      <w:tr w14:paraId="30533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6235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F57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血液净化系统</w:t>
            </w:r>
          </w:p>
        </w:tc>
      </w:tr>
      <w:tr w14:paraId="58D2D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711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E20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实验室信息系统</w:t>
            </w:r>
          </w:p>
        </w:tc>
      </w:tr>
      <w:tr w14:paraId="2CCD6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8EE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465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血库管理系统</w:t>
            </w:r>
          </w:p>
        </w:tc>
      </w:tr>
      <w:tr w14:paraId="1C99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A3F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09B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手术麻醉管理系统</w:t>
            </w:r>
          </w:p>
        </w:tc>
      </w:tr>
      <w:tr w14:paraId="3BD74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43BD">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A9E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重症监护室管理系统</w:t>
            </w:r>
          </w:p>
        </w:tc>
      </w:tr>
      <w:tr w14:paraId="1470F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718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63E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健康体检系统</w:t>
            </w:r>
          </w:p>
        </w:tc>
      </w:tr>
      <w:tr w14:paraId="3CB40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7697B">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5663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药库管理系统</w:t>
            </w:r>
          </w:p>
        </w:tc>
      </w:tr>
      <w:tr w14:paraId="1413A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3F4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CDE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物价管理系统</w:t>
            </w:r>
          </w:p>
        </w:tc>
      </w:tr>
      <w:tr w14:paraId="09693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8D4DD">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2E9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消毒供应室管理系统</w:t>
            </w:r>
          </w:p>
        </w:tc>
      </w:tr>
      <w:tr w14:paraId="2C5C3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D848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5A86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科研管理系统</w:t>
            </w:r>
          </w:p>
        </w:tc>
      </w:tr>
      <w:tr w14:paraId="6ADAC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34C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513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随访系统</w:t>
            </w:r>
          </w:p>
        </w:tc>
      </w:tr>
      <w:tr w14:paraId="5762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644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5D0AB">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综合查询系统</w:t>
            </w:r>
          </w:p>
        </w:tc>
      </w:tr>
      <w:tr w14:paraId="59901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159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922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商业智能决策与分析BI</w:t>
            </w:r>
          </w:p>
        </w:tc>
      </w:tr>
      <w:tr w14:paraId="104CE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7AD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612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系统管理</w:t>
            </w:r>
          </w:p>
        </w:tc>
      </w:tr>
      <w:tr w14:paraId="54643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0F58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81B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集成平台</w:t>
            </w:r>
          </w:p>
        </w:tc>
      </w:tr>
      <w:tr w14:paraId="527D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AA0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A76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医院现业务运行期间对接过的所有接口</w:t>
            </w:r>
          </w:p>
        </w:tc>
      </w:tr>
      <w:tr w14:paraId="52B19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3BA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D989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数字签名（CA）</w:t>
            </w:r>
          </w:p>
        </w:tc>
      </w:tr>
      <w:tr w14:paraId="04B92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7F0B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CBD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合理用药管理系统</w:t>
            </w:r>
          </w:p>
        </w:tc>
      </w:tr>
      <w:tr w14:paraId="46C52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42F8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219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医疗质量管理系统</w:t>
            </w:r>
          </w:p>
        </w:tc>
      </w:tr>
      <w:tr w14:paraId="7D34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80C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329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Caché数据库</w:t>
            </w:r>
          </w:p>
        </w:tc>
      </w:tr>
      <w:tr w14:paraId="1AAF5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B4F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1FED">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治疗科室工作站</w:t>
            </w:r>
          </w:p>
        </w:tc>
      </w:tr>
      <w:tr w14:paraId="3CE2B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28B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2634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医院感染上报系统</w:t>
            </w:r>
          </w:p>
        </w:tc>
      </w:tr>
      <w:tr w14:paraId="33B62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F1F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396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流感上报系统</w:t>
            </w:r>
          </w:p>
        </w:tc>
      </w:tr>
      <w:tr w14:paraId="4A56C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B88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87F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医技检查预约平台</w:t>
            </w:r>
          </w:p>
        </w:tc>
      </w:tr>
      <w:tr w14:paraId="3DC6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363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75</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B29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发热门诊上报系统</w:t>
            </w:r>
          </w:p>
        </w:tc>
      </w:tr>
      <w:tr w14:paraId="4C8BD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953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76</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140A6">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全民健康信息平台数据上报</w:t>
            </w:r>
          </w:p>
        </w:tc>
      </w:tr>
      <w:tr w14:paraId="03C5E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4BA3C">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77</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9D0D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死亡证明管理系统</w:t>
            </w:r>
          </w:p>
        </w:tc>
      </w:tr>
      <w:tr w14:paraId="18F9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4E1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78</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F6C43">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三级公立医院绩效考核上报系统</w:t>
            </w:r>
          </w:p>
        </w:tc>
      </w:tr>
      <w:tr w14:paraId="028B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CDB4">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79</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1070">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抗肿瘤药物监测系统</w:t>
            </w:r>
          </w:p>
        </w:tc>
      </w:tr>
      <w:tr w14:paraId="5D66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054B">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80</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CF4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门诊部Portal</w:t>
            </w:r>
          </w:p>
        </w:tc>
      </w:tr>
      <w:tr w14:paraId="0147F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74FD">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81</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F17F2">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科主任portal</w:t>
            </w:r>
          </w:p>
        </w:tc>
      </w:tr>
      <w:tr w14:paraId="1483D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7E09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82</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E3D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护士长portal</w:t>
            </w:r>
          </w:p>
        </w:tc>
      </w:tr>
      <w:tr w14:paraId="25841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2688">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83</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855F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医生站portal</w:t>
            </w:r>
          </w:p>
        </w:tc>
      </w:tr>
      <w:tr w14:paraId="6C7D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BC31">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84</w:t>
            </w:r>
          </w:p>
        </w:tc>
        <w:tc>
          <w:tcPr>
            <w:tcW w:w="7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697B9">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单点登录系统</w:t>
            </w:r>
          </w:p>
        </w:tc>
      </w:tr>
    </w:tbl>
    <w:p w14:paraId="1CB8AB9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40"/>
        </w:rPr>
      </w:pPr>
    </w:p>
    <w:p w14:paraId="1D8BD8B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color w:val="auto"/>
          <w:sz w:val="32"/>
          <w:szCs w:val="40"/>
          <w:lang w:val="en-US" w:eastAsia="zh-CN"/>
        </w:rPr>
        <w:t>附件2：</w:t>
      </w:r>
    </w:p>
    <w:tbl>
      <w:tblPr>
        <w:tblStyle w:val="5"/>
        <w:tblW w:w="90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64" w:type="dxa"/>
          <w:left w:w="128" w:type="dxa"/>
          <w:bottom w:w="64" w:type="dxa"/>
          <w:right w:w="128" w:type="dxa"/>
        </w:tblCellMar>
      </w:tblPr>
      <w:tblGrid>
        <w:gridCol w:w="1155"/>
        <w:gridCol w:w="7906"/>
      </w:tblGrid>
      <w:tr w14:paraId="44767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4" w:type="dxa"/>
            <w:left w:w="128" w:type="dxa"/>
            <w:bottom w:w="64" w:type="dxa"/>
            <w:right w:w="128" w:type="dxa"/>
          </w:tblCellMar>
        </w:tblPrEx>
        <w:trPr>
          <w:trHeight w:val="0" w:hRule="atLeast"/>
          <w:tblHeader/>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39B6">
            <w:pPr>
              <w:keepNext w:val="0"/>
              <w:keepLines w:val="0"/>
              <w:widowControl/>
              <w:suppressLineNumbers w:val="0"/>
              <w:snapToGrid w:val="0"/>
              <w:jc w:val="center"/>
              <w:textAlignment w:val="center"/>
              <w:rPr>
                <w:rFonts w:hint="eastAsia" w:ascii="宋体" w:hAnsi="宋体" w:eastAsia="宋体" w:cs="宋体"/>
                <w:b/>
                <w:i w:val="0"/>
                <w:iCs w:val="0"/>
                <w:color w:val="000000"/>
                <w:sz w:val="28"/>
                <w:szCs w:val="28"/>
                <w:u w:val="none"/>
              </w:rPr>
            </w:pPr>
            <w:r>
              <w:rPr>
                <w:rFonts w:hint="eastAsia" w:ascii="宋体" w:hAnsi="宋体" w:eastAsia="宋体" w:cs="宋体"/>
                <w:b/>
                <w:i w:val="0"/>
                <w:iCs w:val="0"/>
                <w:color w:val="000000"/>
                <w:kern w:val="0"/>
                <w:sz w:val="28"/>
                <w:szCs w:val="28"/>
                <w:u w:val="none"/>
                <w:lang w:val="en-US" w:eastAsia="zh-CN" w:bidi="ar"/>
              </w:rPr>
              <w:t>序号</w:t>
            </w:r>
          </w:p>
        </w:tc>
        <w:tc>
          <w:tcPr>
            <w:tcW w:w="7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B46F">
            <w:pPr>
              <w:keepNext w:val="0"/>
              <w:keepLines w:val="0"/>
              <w:widowControl/>
              <w:suppressLineNumbers w:val="0"/>
              <w:snapToGrid w:val="0"/>
              <w:jc w:val="center"/>
              <w:textAlignment w:val="center"/>
              <w:rPr>
                <w:rFonts w:hint="default" w:ascii="宋体" w:hAnsi="宋体" w:eastAsia="宋体" w:cs="宋体"/>
                <w:b/>
                <w:i w:val="0"/>
                <w:iCs w:val="0"/>
                <w:color w:val="000000"/>
                <w:sz w:val="28"/>
                <w:szCs w:val="28"/>
                <w:u w:val="none"/>
                <w:lang w:val="en-US" w:eastAsia="zh-CN"/>
              </w:rPr>
            </w:pPr>
            <w:r>
              <w:rPr>
                <w:rFonts w:hint="eastAsia" w:ascii="宋体" w:hAnsi="宋体" w:eastAsia="宋体" w:cs="宋体"/>
                <w:b/>
                <w:i w:val="0"/>
                <w:iCs w:val="0"/>
                <w:color w:val="000000"/>
                <w:sz w:val="28"/>
                <w:szCs w:val="28"/>
                <w:u w:val="none"/>
                <w:lang w:val="en-US" w:eastAsia="zh-CN"/>
              </w:rPr>
              <w:t>2023—2024年已投入使用的接口服务</w:t>
            </w:r>
          </w:p>
        </w:tc>
      </w:tr>
      <w:tr w14:paraId="2F813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4" w:type="dxa"/>
            <w:left w:w="128" w:type="dxa"/>
            <w:bottom w:w="64" w:type="dxa"/>
            <w:right w:w="128" w:type="dxa"/>
          </w:tblCellMar>
        </w:tblPrEx>
        <w:trPr>
          <w:trHeight w:val="0"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E15D">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7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A277">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生殖中心与省平台接口开发服务</w:t>
            </w:r>
          </w:p>
        </w:tc>
      </w:tr>
      <w:tr w14:paraId="4522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4" w:type="dxa"/>
            <w:left w:w="128" w:type="dxa"/>
            <w:bottom w:w="64" w:type="dxa"/>
            <w:right w:w="128" w:type="dxa"/>
          </w:tblCellMar>
        </w:tblPrEx>
        <w:trPr>
          <w:trHeight w:val="0"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9F8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7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A3F0A">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微信、自助机与HIS系统挂号移动支付功能</w:t>
            </w:r>
          </w:p>
        </w:tc>
      </w:tr>
      <w:tr w14:paraId="2EDF8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4" w:type="dxa"/>
            <w:left w:w="128" w:type="dxa"/>
            <w:bottom w:w="64" w:type="dxa"/>
            <w:right w:w="128" w:type="dxa"/>
          </w:tblCellMar>
        </w:tblPrEx>
        <w:trPr>
          <w:trHeight w:val="0"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B882D">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7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6659E">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医保钱包消费功能接口开发</w:t>
            </w:r>
          </w:p>
        </w:tc>
      </w:tr>
      <w:tr w14:paraId="24B55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4" w:type="dxa"/>
            <w:left w:w="128" w:type="dxa"/>
            <w:bottom w:w="64" w:type="dxa"/>
            <w:right w:w="128" w:type="dxa"/>
          </w:tblCellMar>
        </w:tblPrEx>
        <w:trPr>
          <w:trHeight w:val="0" w:hRule="atLeast"/>
          <w:jc w:val="center"/>
        </w:trPr>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40C5">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79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4B8F">
            <w:pPr>
              <w:keepNext w:val="0"/>
              <w:keepLines w:val="0"/>
              <w:widowControl/>
              <w:suppressLineNumbers w:val="0"/>
              <w:snapToGrid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三医联动数据采集标准医院贯标改造服务</w:t>
            </w:r>
          </w:p>
        </w:tc>
      </w:tr>
    </w:tbl>
    <w:p w14:paraId="45B1C6AA">
      <w:pPr>
        <w:keepNext w:val="0"/>
        <w:keepLines w:val="0"/>
        <w:pageBreakBefore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40"/>
          <w:lang w:val="en-US" w:eastAsia="zh-CN"/>
        </w:rPr>
      </w:pPr>
    </w:p>
    <w:sectPr>
      <w:footerReference r:id="rId3" w:type="default"/>
      <w:pgSz w:w="11906" w:h="16838"/>
      <w:pgMar w:top="2098" w:right="1474" w:bottom="1984" w:left="1587"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D09B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15679">
                          <w:pPr>
                            <w:pStyle w:val="2"/>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I</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215679">
                    <w:pPr>
                      <w:pStyle w:val="2"/>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I</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0EAC6"/>
    <w:multiLevelType w:val="singleLevel"/>
    <w:tmpl w:val="8650EAC6"/>
    <w:lvl w:ilvl="0" w:tentative="0">
      <w:start w:val="3"/>
      <w:numFmt w:val="chineseCounting"/>
      <w:suff w:val="nothing"/>
      <w:lvlText w:val="（%1）"/>
      <w:lvlJc w:val="left"/>
      <w:rPr>
        <w:rFonts w:hint="eastAsia"/>
      </w:rPr>
    </w:lvl>
  </w:abstractNum>
  <w:abstractNum w:abstractNumId="1">
    <w:nsid w:val="01692C69"/>
    <w:multiLevelType w:val="singleLevel"/>
    <w:tmpl w:val="01692C69"/>
    <w:lvl w:ilvl="0" w:tentative="0">
      <w:start w:val="1"/>
      <w:numFmt w:val="decimal"/>
      <w:suff w:val="nothing"/>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1473D"/>
    <w:rsid w:val="06A63573"/>
    <w:rsid w:val="078A1512"/>
    <w:rsid w:val="095E38C5"/>
    <w:rsid w:val="0DDFFA31"/>
    <w:rsid w:val="104F3F8D"/>
    <w:rsid w:val="10AA1ECB"/>
    <w:rsid w:val="12633CFA"/>
    <w:rsid w:val="139E0B23"/>
    <w:rsid w:val="180C273E"/>
    <w:rsid w:val="1A312B30"/>
    <w:rsid w:val="234E6301"/>
    <w:rsid w:val="23D20CE0"/>
    <w:rsid w:val="27370252"/>
    <w:rsid w:val="273E6491"/>
    <w:rsid w:val="2DC53663"/>
    <w:rsid w:val="32D01A6D"/>
    <w:rsid w:val="354D6804"/>
    <w:rsid w:val="38E34F65"/>
    <w:rsid w:val="39D6A8BB"/>
    <w:rsid w:val="3A0D59D3"/>
    <w:rsid w:val="3BC3268E"/>
    <w:rsid w:val="45F13A5A"/>
    <w:rsid w:val="465670F7"/>
    <w:rsid w:val="496359C7"/>
    <w:rsid w:val="4C64758B"/>
    <w:rsid w:val="4D054C99"/>
    <w:rsid w:val="562C577E"/>
    <w:rsid w:val="57471094"/>
    <w:rsid w:val="59721829"/>
    <w:rsid w:val="5BE21AF7"/>
    <w:rsid w:val="617C5EA0"/>
    <w:rsid w:val="679D4EFF"/>
    <w:rsid w:val="68F156D1"/>
    <w:rsid w:val="6C69063A"/>
    <w:rsid w:val="6DBF773B"/>
    <w:rsid w:val="6FCFD735"/>
    <w:rsid w:val="70C60ADC"/>
    <w:rsid w:val="748121E9"/>
    <w:rsid w:val="77EC4FAC"/>
    <w:rsid w:val="7AD9519D"/>
    <w:rsid w:val="7F3217A8"/>
    <w:rsid w:val="7F664BCB"/>
    <w:rsid w:val="7FBB6C30"/>
    <w:rsid w:val="9DFEC56A"/>
    <w:rsid w:val="DB5ECB76"/>
    <w:rsid w:val="E69EC1F1"/>
    <w:rsid w:val="FEEB4A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1787</Words>
  <Characters>1887</Characters>
  <Lines>0</Lines>
  <Paragraphs>0</Paragraphs>
  <TotalTime>702</TotalTime>
  <ScaleCrop>false</ScaleCrop>
  <LinksUpToDate>false</LinksUpToDate>
  <CharactersWithSpaces>1887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2025-03-06T00:35:00Z</dcterms:created>
  <dc:creator>Administrator</dc:creator>
  <cp:lastModifiedBy>陈曼若</cp:lastModifiedBy>
  <cp:lastPrinted>2025-09-17T03:25:00Z</cp:lastPrinted>
  <dcterms:modified xsi:type="dcterms:W3CDTF">2025-10-13T03:05:16Z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eyJoZGlkIjoiMGU3MjNmMDYwZjEwZDY4NjdhNmEwNjcxYTNlZWRhYzIiLCJ1c2VySWQiOiI0NDAyMTY4NzcifQ==</vt:lpwstr>
  </property>
  <property fmtid="{D5CDD505-2E9C-101B-9397-08002B2CF9AE}" pid="4" name="ICV">
    <vt:lpwstr>C000CC4B0E0A4BADB28A1CB22E0A2C6A_13</vt:lpwstr>
  </property>
</Properties>
</file>